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14886544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B4EF9">
        <w:rPr>
          <w:rFonts w:ascii="Times New Roman" w:hAnsi="Times New Roman" w:cs="Times New Roman"/>
          <w:b/>
          <w:sz w:val="28"/>
          <w:szCs w:val="28"/>
        </w:rPr>
        <w:t xml:space="preserve">Рековичского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6C15148B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CC0A08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531529F7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CC0A08">
        <w:rPr>
          <w:rFonts w:ascii="Times New Roman" w:hAnsi="Times New Roman" w:cs="Times New Roman"/>
          <w:b/>
          <w:sz w:val="28"/>
          <w:szCs w:val="28"/>
        </w:rPr>
        <w:t>2</w:t>
      </w:r>
    </w:p>
    <w:p w14:paraId="0F81F6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77777777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2B7A69E5" w14:textId="7BD1D7B4" w:rsidR="000D46BF" w:rsidRDefault="00E0291E" w:rsidP="00CC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EA6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</w:t>
      </w:r>
      <w:r w:rsidR="00CC0A0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CC0A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656AEF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656AEF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AC4CE71" w14:textId="77777777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бюджета на 2022 год первоначально утверждены решением Рековичского сельского Совета народных депутатов  23.12.2021 года № 99 «О бюджете Рековичского сельского поселения Дубровского муниципального района Брянской области на 2022 год и плановый период 2023 и 2024 годов», по доходам в объеме 2 265,7 тыс. рублей, по расходам – 2 265,7 тыс. рублей, сбалансированным.</w:t>
      </w:r>
    </w:p>
    <w:p w14:paraId="3B307FCC" w14:textId="77777777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в решение 1 раз вносились изменения (№102 от 26.01.2022г.),  объем  дефицита изменялся один раз.</w:t>
      </w:r>
    </w:p>
    <w:p w14:paraId="4EA3782B" w14:textId="3D705399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изменений бюджет на 2022 год утвержден по доходам в объеме 2 265,7 тыс. рублей, по расходам в объеме 2 266,0 тыс. рублей, дефицит бюджета  утвержден в сумме 0,3 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14:paraId="7045F943" w14:textId="03536981" w:rsidR="00CC0A08" w:rsidRPr="00CC0A08" w:rsidRDefault="00CC0A08" w:rsidP="00CC0A0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477871E8" w14:textId="391373DA" w:rsidR="00CC0A08" w:rsidRPr="00CC0A08" w:rsidRDefault="00CC0A08" w:rsidP="00CC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Доходная часть бюджета за 1 квартал 2022 года исполнена в сумме 1 115,2 тыс. рублей, или на 49,2% к утвержденным годовым назначениям. По сравнению  с соответствующим уровнем прошлого года доходная часть бюджета увеличилась на  315,7 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39,4%. Налоговые и неналоговые  доходы увеличились на 692,2 тыс. рублей, или на 278,0 %. В структуре доходов бюджета удельный вес собственных доходов составил 93,1%. На долю безвозмездный поступлений приходится 6,9%. </w:t>
      </w:r>
    </w:p>
    <w:p w14:paraId="6342E7C7" w14:textId="7CA1D6CF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поступлении доходов за 1 квартал  2022 года приведены в таблице</w:t>
      </w: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  ( тыс. рублей)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CC0A08" w:rsidRPr="00CC0A08" w14:paraId="1EBC91D8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64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8F3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0EFB631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в 1 кв.</w:t>
            </w:r>
          </w:p>
          <w:p w14:paraId="5D15139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47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  <w:p w14:paraId="3380CCB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6F3B98F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D46" w14:textId="77777777" w:rsidR="00CC0A08" w:rsidRPr="00CC0A08" w:rsidRDefault="00CC0A08" w:rsidP="00CC0A08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2ACF37F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в 1 кв. 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FDE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14:paraId="68AD897F" w14:textId="4089B4E4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505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B1342A2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14:paraId="6CF01751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2022/2021</w:t>
            </w:r>
          </w:p>
          <w:p w14:paraId="51BB6FCB" w14:textId="7DED625F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A08" w:rsidRPr="00CC0A08" w14:paraId="7FFC30A1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FC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E7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44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3F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A4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0F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A08" w:rsidRPr="00CC0A08" w14:paraId="3C4699D0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811C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  <w:p w14:paraId="747FC2F2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B7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6EC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2 111,6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96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1 080,4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37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CB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278,3</w:t>
            </w:r>
          </w:p>
        </w:tc>
      </w:tr>
      <w:tr w:rsidR="00CC0A08" w:rsidRPr="00CC0A08" w14:paraId="36A4BFC2" w14:textId="77777777" w:rsidTr="00CC0A08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886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65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7B8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1 038,0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26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F7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1F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</w:tr>
      <w:tr w:rsidR="00CC0A08" w:rsidRPr="00CC0A08" w14:paraId="4731CD1E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A71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D08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D9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30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7D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21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CC0A08" w:rsidRPr="00CC0A08" w14:paraId="5382FB9B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60C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единый сельхозналог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58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C5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CA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77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79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A08" w:rsidRPr="00CC0A08" w14:paraId="0825C575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4E7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BD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BC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B6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D4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7E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C0A08" w:rsidRPr="00CC0A08" w14:paraId="7B9D4403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D081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A4C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DC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E0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EF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5F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C0A08" w:rsidRPr="00CC0A08" w14:paraId="040F2857" w14:textId="77777777" w:rsidTr="00CC0A08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261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6D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D7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1 073,6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FF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1 039,9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2B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EEF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334,1</w:t>
            </w:r>
          </w:p>
        </w:tc>
      </w:tr>
      <w:tr w:rsidR="00CC0A08" w:rsidRPr="00CC0A08" w14:paraId="7FFD378E" w14:textId="77777777" w:rsidTr="00CC0A08">
        <w:trPr>
          <w:trHeight w:val="5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445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99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87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B0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E0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224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14:paraId="69F3A5F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94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0A08" w:rsidRPr="00CC0A08" w14:paraId="2BDA423B" w14:textId="77777777" w:rsidTr="00CC0A08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B5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26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26E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A8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1 028,6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3E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4D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CC0A08" w:rsidRPr="00CC0A08" w14:paraId="78D6004A" w14:textId="77777777" w:rsidTr="00CC0A08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32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D7B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840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2C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7E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EF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</w:tr>
      <w:tr w:rsidR="00CC0A08" w:rsidRPr="00CC0A08" w14:paraId="113EB8B7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E0F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Дотации: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63E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38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A53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49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8F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CC0A08" w:rsidRPr="00CC0A08" w14:paraId="74AC5FDA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00D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B5B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96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14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C9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A8B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CC0A08" w:rsidRPr="00CC0A08" w14:paraId="062A988C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334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FA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2A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A2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6C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62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C0A08" w:rsidRPr="00CC0A08" w14:paraId="18D95D74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F16D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 осуществление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AFC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C3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94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78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8D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C0A08" w:rsidRPr="00CC0A08" w14:paraId="753525E1" w14:textId="77777777" w:rsidTr="00CC0A08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ED7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4A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A9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54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5C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E2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A08" w:rsidRPr="00CC0A08" w14:paraId="60E860EB" w14:textId="77777777" w:rsidTr="00CC0A08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CEC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7AA" w14:textId="3488B7E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BDC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2 265,7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E5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1 115,2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EA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07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139,4</w:t>
            </w:r>
          </w:p>
        </w:tc>
      </w:tr>
    </w:tbl>
    <w:p w14:paraId="4DDB0717" w14:textId="080F8A2A" w:rsidR="00CC0A08" w:rsidRPr="00CC0A08" w:rsidRDefault="00CC0A08" w:rsidP="00CC0A08">
      <w:pPr>
        <w:pStyle w:val="a7"/>
        <w:numPr>
          <w:ilvl w:val="1"/>
          <w:numId w:val="10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66ABD086" w14:textId="77777777" w:rsidR="00CC0A08" w:rsidRPr="00CC0A08" w:rsidRDefault="00CC0A08" w:rsidP="00CC0A08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45,8%. В абсолютном выражении поступления в бюджет составили 40,5 тыс. рублей или 3,9% годовых плановых назначений. Основным налогом, которым сформирована доходная часть бюджета за 1 квартал 2022 года является 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 на доходы физических лиц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. На его долю приходится 17,2% поступивших налоговых доходов.</w:t>
      </w:r>
    </w:p>
    <w:p w14:paraId="686B965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33,1 тыс. рублей, годовые плановые назначения исполнены на 17,2%,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налога  в собственных доходах составляет 3,0%.</w:t>
      </w:r>
    </w:p>
    <w:p w14:paraId="02739CDE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CC0A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0,5 тыс. рублей, или 0,7%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28559D8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0,4 тыс. рублей или 0,4%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77893CAD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Земельный налог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поступил в бюджет в сумме 6,5 тыс. руб. или 1,0%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назначений, доля налога  в собственных доходах составляет 29,6%.</w:t>
      </w:r>
    </w:p>
    <w:p w14:paraId="3099438D" w14:textId="77777777" w:rsidR="00CC0A08" w:rsidRDefault="00CC0A08" w:rsidP="00CC0A08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2FA956AE" w14:textId="352BB356" w:rsidR="00CC0A08" w:rsidRPr="00CC0A08" w:rsidRDefault="00CC0A08" w:rsidP="00CC0A08">
      <w:pPr>
        <w:pStyle w:val="a7"/>
        <w:numPr>
          <w:ilvl w:val="1"/>
          <w:numId w:val="10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0E6F20CA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50,8%.  В абсолютном выражении поступления в бюджет составили 1 039,9 тыс. рублей или 96,8 % годовых плановых назначений. Наибольший удельный вес по группе неналоговых доходов занимают:</w:t>
      </w:r>
      <w:r w:rsidRPr="00CC0A08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</w:p>
    <w:p w14:paraId="5849951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Доходы от сдачи в аренду имущества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11,2 тыс. рублей, годовые плановые назначения исполнены на 24,9%,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доля налога  в собственных доходах составляет 1,0%.</w:t>
      </w:r>
    </w:p>
    <w:p w14:paraId="19EA481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от сдачи в аренду земли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1 028,6 тыс руб, или 99,9% плановых назначений,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доля налога  в собственных доходах составляет 95,2%.</w:t>
      </w:r>
    </w:p>
    <w:p w14:paraId="4BDB4F13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7756DC2" w14:textId="7B1C48C1" w:rsidR="00CC0A08" w:rsidRPr="00CC0A08" w:rsidRDefault="00CC0A08" w:rsidP="00CC0A08">
      <w:pPr>
        <w:spacing w:after="0" w:line="240" w:lineRule="auto"/>
        <w:ind w:right="-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2.3</w:t>
      </w: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2F008DDC" w14:textId="77777777" w:rsidR="00CC0A08" w:rsidRPr="00CC0A08" w:rsidRDefault="00CC0A08" w:rsidP="00CC0A08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За 1 квартал 2022 года  кассовое исполнение безвозмездных поступлений составило 34,8 тыс. рублей, или 22,5% утвержденных годовых назначений. По сравнению с аналогичным периодом 2021 года, общий объем безвозмездных поступлений увеличился на 7,4 тыс. рублей.</w:t>
      </w:r>
    </w:p>
    <w:p w14:paraId="434EF75B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-за отчетный период поступила в сумме 11,0 тыс. руб., или 25,0 %  утвержденных плановых назначений. Объем дотаций к аналогичному периоду 2021 года объем дотаций увеличился  на 4,0 тыс. рублей.</w:t>
      </w:r>
    </w:p>
    <w:p w14:paraId="47742E02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поступили в сумме 23,8 тыс. рублей, что составило 25,0% утвержденных плановых назначений . По сравнению с аналогичным периодом 2021 года общий объем безвозмездных поступлений увеличился  на 0,9 тыс. рублей.</w:t>
      </w:r>
    </w:p>
    <w:p w14:paraId="4F15D54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 отчетный период не поступали.</w:t>
      </w:r>
    </w:p>
    <w:p w14:paraId="13A4A4E5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56A854" w14:textId="77225165" w:rsidR="00CC0A08" w:rsidRPr="0023339F" w:rsidRDefault="00CC0A08" w:rsidP="0023339F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4D846EC3" w14:textId="77777777" w:rsidR="00CC0A08" w:rsidRPr="00CC0A08" w:rsidRDefault="00CC0A08" w:rsidP="00CC0A0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9A1D4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Расходная часть бюджета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2022 года исполнена в сумме 444,0 тыс. рублей, или на 19,5% к утвержденным годовым назначениям. По сравнению  с аналогичным уровнем прошлого года расходная  часть бюджета увеличилась на  41,2 тыс.руб. или на 10,2%.  </w:t>
      </w:r>
    </w:p>
    <w:p w14:paraId="6F624951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8A39380" w14:textId="56F1DCB4" w:rsidR="00CC0A08" w:rsidRPr="00CC0A08" w:rsidRDefault="00CC0A08" w:rsidP="0023339F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65E5EB5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бюджета за 1 квартал 2022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вопросы» - 21,9%. </w:t>
      </w:r>
    </w:p>
    <w:p w14:paraId="0D640AFE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11E71CE" w14:textId="03455A94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расходах за 1 квартал 2022 года представлены в </w:t>
      </w:r>
      <w:r w:rsidRPr="00CC0A0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таблице </w:t>
      </w:r>
      <w:r w:rsidRPr="00CC0A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(тыс. руб.)                                                                                                                        </w:t>
      </w:r>
      <w:r w:rsidRPr="00CC0A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</w:t>
      </w:r>
      <w:r w:rsidRPr="00C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1304"/>
        <w:gridCol w:w="1134"/>
        <w:gridCol w:w="1134"/>
        <w:gridCol w:w="1134"/>
        <w:gridCol w:w="1276"/>
      </w:tblGrid>
      <w:tr w:rsidR="00CC0A08" w:rsidRPr="00CC0A08" w14:paraId="1A197D24" w14:textId="77777777" w:rsidTr="00CC0A08">
        <w:trPr>
          <w:trHeight w:val="8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E752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575" w14:textId="77777777" w:rsidR="00CC0A08" w:rsidRPr="00CC0A08" w:rsidRDefault="00CC0A08" w:rsidP="00CC0A0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39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Испол-нено </w:t>
            </w:r>
          </w:p>
          <w:p w14:paraId="5B0FEB05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2021 </w:t>
            </w:r>
          </w:p>
          <w:p w14:paraId="0CB8089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B29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Уточне-но </w:t>
            </w:r>
          </w:p>
          <w:p w14:paraId="32C8EB7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</w:t>
            </w:r>
          </w:p>
          <w:p w14:paraId="60FF1212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1974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Испол-нено  в </w:t>
            </w:r>
          </w:p>
          <w:p w14:paraId="258E339C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18D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% исполнения</w:t>
            </w:r>
          </w:p>
          <w:p w14:paraId="5ACE4BCF" w14:textId="085A6961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905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%</w:t>
            </w:r>
          </w:p>
          <w:p w14:paraId="0AAF9FF9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14:paraId="0E98CE0E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2022/2021</w:t>
            </w:r>
          </w:p>
          <w:p w14:paraId="1725A437" w14:textId="22A1F03C" w:rsidR="00CC0A08" w:rsidRPr="00CC0A08" w:rsidRDefault="00CC0A08" w:rsidP="00CC0A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A08" w:rsidRPr="00CC0A08" w14:paraId="6117C772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988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CE0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861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443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BB5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F87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08A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C0A08" w:rsidRPr="00CC0A08" w14:paraId="10C05784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E08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F25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7A0C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C6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E2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E7A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15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CC0A08" w:rsidRPr="00CC0A08" w14:paraId="0379A94D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9E0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85AF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663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514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3A0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64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3E0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CC0A08" w:rsidRPr="00CC0A08" w14:paraId="27AEF4E3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90A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12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B1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16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FD6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DA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1C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7B60368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7543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14:paraId="4CA09283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7924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3D7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02B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57E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6FD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743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CC0A08" w:rsidRPr="00CC0A08" w14:paraId="583832B9" w14:textId="77777777" w:rsidTr="00CC0A08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3EF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0FBB980B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4A9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6B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9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84B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562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D0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112AB47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159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3FD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EFB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3A8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06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CF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FA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A08" w:rsidRPr="00CC0A08" w14:paraId="17DB1CC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7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54B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5739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EB8B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20F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CF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3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C0A08" w:rsidRPr="00CC0A08" w14:paraId="66B8A972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E07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1E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43B3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BBB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898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9E2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B4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574F496D" w14:textId="77777777" w:rsidTr="00CC0A08">
        <w:trPr>
          <w:trHeight w:val="3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31F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E00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BD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C7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2 266,0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AAA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886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26F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110,2</w:t>
            </w:r>
          </w:p>
        </w:tc>
      </w:tr>
    </w:tbl>
    <w:p w14:paraId="17C0B0EB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4FE47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51FB77F3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338,1 тыс. рублей, или 21,6% к утвержденной  годовой бюджетной росписи.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76,1%. </w:t>
      </w:r>
    </w:p>
    <w:p w14:paraId="37358842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17,5 тыс. рублей, или 18,4 % к объему расходов, предусмотренных уточненной бюджетной росписью на год.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3,9%.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раздела представлена одним подразделом - 02 03 «Мобилизационная и вневойсковая подготовка».</w:t>
      </w:r>
    </w:p>
    <w:p w14:paraId="1BB923C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 утверждены в сумме 8,0 тыс. руб. и по данному разделу расходы бюджета не производились. Расходы представлены подразделом 03 10 «Обеспечение пожарной безопасности». </w:t>
      </w:r>
    </w:p>
    <w:p w14:paraId="289EF817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сложились в сумме 54,4 тыс. рублей, или 12,4 % к объему расходов, предусмотренных уточненной бюджетной росписью на год. Расходы представлены подразделом 05 03 «Благоустройство».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12,2%.</w:t>
      </w:r>
    </w:p>
    <w:p w14:paraId="75A05FE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«Образование»: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 в отчетном периоде не производились Раздел представлен  одним подразделом - 07 07 «Молодежная политика».  </w:t>
      </w:r>
    </w:p>
    <w:p w14:paraId="248CCB36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 расходы  в отчетном периоде не производились. Структура расходов раздела представлена одним подразделом – 08 01 «Культура».</w:t>
      </w:r>
    </w:p>
    <w:p w14:paraId="485C8E7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 «Социальная политика»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за 1 квартал 2022 года составили 34,0 тыс.руб.или 24,9%.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7,6%.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представлены одним подразделом 1001 «Пенсионное обеспечение» -доплата к муниципальным пенсиям.</w:t>
      </w:r>
    </w:p>
    <w:p w14:paraId="21D144E4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4CAF6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 «Физическая культура и спорт»: р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асходы бюджета  в 1 квартале не производились.. Структура раздела представлена одним подразделом – 11 02 «Массовый спорт». </w:t>
      </w:r>
    </w:p>
    <w:p w14:paraId="3CF0D9D4" w14:textId="77777777" w:rsidR="00CC0A08" w:rsidRPr="00CC0A08" w:rsidRDefault="00CC0A08" w:rsidP="00CC0A0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E17FD7" w14:textId="3E14ADEB" w:rsidR="00CC0A08" w:rsidRPr="0023339F" w:rsidRDefault="00CC0A08" w:rsidP="0023339F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муниципальной программы</w:t>
      </w:r>
    </w:p>
    <w:p w14:paraId="2BF2558A" w14:textId="77777777" w:rsidR="00CC0A08" w:rsidRPr="00CC0A08" w:rsidRDefault="00CC0A08" w:rsidP="00CC0A08">
      <w:pPr>
        <w:spacing w:after="0" w:line="240" w:lineRule="auto"/>
        <w:ind w:left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C8617C" w14:textId="77777777" w:rsidR="00CC0A08" w:rsidRPr="00CC0A08" w:rsidRDefault="00CC0A08" w:rsidP="00CC0A0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2022 год и на плановый период 2023 и 2024 годов «утверждена постановлением  Рековичской сельской администрации 23.12.2021 года № 46 с  объемом финансирования на 2022 год в сумме  2260,7 тыс. рублей, в том числе 2165,6 тыс. рублей - средства местного бюджета, 95,1 тыс. рублей - средства областного бюджета.</w:t>
      </w:r>
    </w:p>
    <w:p w14:paraId="5DF4704F" w14:textId="0CECE679" w:rsidR="00CC0A08" w:rsidRPr="00CC0A08" w:rsidRDefault="00CC0A08" w:rsidP="002333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 отчетного периода в постановление 1 раз вносились изменения (27.01.2022 года № 2). С учетом изменений общий объем на 2022 год утвержден в сумме 2261,0 тыс. рублей, в том числе 2 165,9 тыс. рублей- средства местного бюджета, 95,1 тыс. рублей- средства областного бюджета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6CFA1015" w14:textId="178D2322" w:rsidR="00CC0A08" w:rsidRPr="00CC0A08" w:rsidRDefault="00CC0A08" w:rsidP="0023339F">
      <w:pPr>
        <w:spacing w:after="0" w:line="240" w:lineRule="auto"/>
        <w:ind w:firstLine="6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2022 года расходы бюджета по муниципальной программе исполнены в сумме 444,0 тыс.</w:t>
      </w:r>
      <w:r w:rsidR="002333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что составляет 19,6% утвержденных плановых назначений.</w:t>
      </w:r>
    </w:p>
    <w:p w14:paraId="1822E34D" w14:textId="11F9C271" w:rsidR="00CC0A08" w:rsidRPr="00CC0A08" w:rsidRDefault="00CC0A08" w:rsidP="00CC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Непрограммная деятельность представлена резервным фондом в сумме 5,0 тыс. руб.</w:t>
      </w:r>
      <w:r w:rsidRPr="00CC0A08">
        <w:rPr>
          <w:rFonts w:ascii="Times New Roman" w:hAnsi="Times New Roman" w:cs="Times New Roman"/>
          <w:sz w:val="28"/>
          <w:szCs w:val="28"/>
        </w:rPr>
        <w:t xml:space="preserve"> Решением о бюджете размер резервного фонда на 2022 год установлен в сумме 5,0 тыс. рублей. В отчетном периоде корректировка плановых назначений и  расходование ассигнований  резервного фонда не осуществлялись.</w:t>
      </w:r>
    </w:p>
    <w:p w14:paraId="5047DCE1" w14:textId="68368CC6" w:rsidR="00CC0A08" w:rsidRPr="00CC0A08" w:rsidRDefault="00CC0A08" w:rsidP="0023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7AF12B" w14:textId="77777777" w:rsidR="00CC0A08" w:rsidRPr="00CC0A08" w:rsidRDefault="00CC0A08" w:rsidP="0023339F">
      <w:pPr>
        <w:numPr>
          <w:ilvl w:val="0"/>
          <w:numId w:val="10"/>
        </w:numPr>
        <w:spacing w:after="0" w:line="240" w:lineRule="auto"/>
        <w:ind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Дефицит (профицит) бюджета и источники внутреннего</w:t>
      </w:r>
    </w:p>
    <w:p w14:paraId="2382EEDE" w14:textId="77777777" w:rsidR="00CC0A08" w:rsidRPr="00CC0A08" w:rsidRDefault="00CC0A08" w:rsidP="0023339F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финансирования дефицита бюджета</w:t>
      </w:r>
    </w:p>
    <w:p w14:paraId="711271DE" w14:textId="77777777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BA74CD4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0,3</w:t>
      </w:r>
      <w:r w:rsidRPr="00CC0A08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тыс. рублей. В состав источников внутреннего финансирования дефицита  бюджета включены остатки средств на счетах по учету средств бюджета</w:t>
      </w:r>
    </w:p>
    <w:p w14:paraId="5ADA0C70" w14:textId="05DEADA3" w:rsidR="00CC0A08" w:rsidRDefault="00CC0A08" w:rsidP="00CF3C38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highlight w:val="lightGray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4AB7EB3B" w14:textId="77777777" w:rsidR="00CF3C38" w:rsidRPr="00CF3C38" w:rsidRDefault="00CF3C38" w:rsidP="00CF3C38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highlight w:val="lightGray"/>
          <w:lang w:eastAsia="ru-RU"/>
        </w:rPr>
      </w:pP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77777777" w:rsidR="00211DC7" w:rsidRPr="00CC0A08" w:rsidRDefault="00211DC7" w:rsidP="00C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FE3729C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870F2" w14:textId="77777777" w:rsidR="00CF3C38" w:rsidRDefault="00CF3C38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45DFC9C" w14:textId="0C8CBD22" w:rsidR="002340FD" w:rsidRPr="0023339F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23339F">
        <w:rPr>
          <w:rFonts w:ascii="Times New Roman" w:hAnsi="Times New Roman" w:cs="Times New Roman"/>
          <w:sz w:val="28"/>
          <w:szCs w:val="28"/>
        </w:rPr>
        <w:t>2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2333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</w:p>
    <w:p w14:paraId="14B0B73A" w14:textId="77777777" w:rsidR="002340FD" w:rsidRPr="00CC0A08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C198DE6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1ABF42A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A71FBA5" w14:textId="536A5213" w:rsidR="002340FD" w:rsidRPr="00B6461D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Ромакина</w:t>
      </w:r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D6957" w14:textId="77777777" w:rsidR="007A4C33" w:rsidRDefault="007A4C33" w:rsidP="00891B2F">
      <w:pPr>
        <w:spacing w:after="0" w:line="240" w:lineRule="auto"/>
      </w:pPr>
      <w:r>
        <w:separator/>
      </w:r>
    </w:p>
  </w:endnote>
  <w:endnote w:type="continuationSeparator" w:id="0">
    <w:p w14:paraId="70ACD645" w14:textId="77777777" w:rsidR="007A4C33" w:rsidRDefault="007A4C33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48BE" w14:textId="77777777" w:rsidR="007A4C33" w:rsidRDefault="007A4C33" w:rsidP="00891B2F">
      <w:pPr>
        <w:spacing w:after="0" w:line="240" w:lineRule="auto"/>
      </w:pPr>
      <w:r>
        <w:separator/>
      </w:r>
    </w:p>
  </w:footnote>
  <w:footnote w:type="continuationSeparator" w:id="0">
    <w:p w14:paraId="03761FE5" w14:textId="77777777" w:rsidR="007A4C33" w:rsidRDefault="007A4C33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4C03A3" w:rsidRDefault="001524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4C03A3" w:rsidRDefault="004C03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4634"/>
    <w:rsid w:val="00051DCF"/>
    <w:rsid w:val="00064618"/>
    <w:rsid w:val="00074190"/>
    <w:rsid w:val="00077C59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33AD"/>
    <w:rsid w:val="00756B4C"/>
    <w:rsid w:val="00770A31"/>
    <w:rsid w:val="00770A46"/>
    <w:rsid w:val="00771EE1"/>
    <w:rsid w:val="007A36C3"/>
    <w:rsid w:val="007A4C33"/>
    <w:rsid w:val="007B30E1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5EC1"/>
    <w:rsid w:val="00B41869"/>
    <w:rsid w:val="00B47717"/>
    <w:rsid w:val="00B53A29"/>
    <w:rsid w:val="00B54501"/>
    <w:rsid w:val="00B811F1"/>
    <w:rsid w:val="00B866EF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4292"/>
    <w:rsid w:val="00D3094C"/>
    <w:rsid w:val="00D40BF3"/>
    <w:rsid w:val="00D448F2"/>
    <w:rsid w:val="00D44F7C"/>
    <w:rsid w:val="00D660F5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240</cp:revision>
  <cp:lastPrinted>2020-04-23T07:43:00Z</cp:lastPrinted>
  <dcterms:created xsi:type="dcterms:W3CDTF">2019-04-26T12:44:00Z</dcterms:created>
  <dcterms:modified xsi:type="dcterms:W3CDTF">2022-05-24T05:36:00Z</dcterms:modified>
</cp:coreProperties>
</file>